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fldChar w:fldCharType="begin"/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instrText> PAGE </w:instrText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fldChar w:fldCharType="separate"/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t>1</w:t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fldChar w:fldCharType="begin"/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instrText> PAGE </w:instrText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fldChar w:fldCharType="separate"/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t>1</w:t>
      </w:r>
      <w:r>
        <w:rPr>
          <w:sz w:val="24"/>
          <w:b/>
          <w:szCs w:val="24"/>
          <w:bCs/>
          <w:rFonts w:eastAsia="Times New Roman" w:cs="Times New Roman" w:ascii="Times New Roman" w:hAnsi="Times New Roman"/>
        </w:rPr>
        <w:fldChar w:fldCharType="end"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Regulamin organizacji pracy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Szkoły Podstawowej w Kikole im. I. A. Zboińskiego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w czasie zagrożenia epidemicznego</w:t>
      </w:r>
    </w:p>
    <w:p>
      <w:pPr>
        <w:pStyle w:val="Normal"/>
        <w:shd w:val="clear" w:color="auto" w:fill="FFFFFF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Obowiązuje od 1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>5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  <w:t xml:space="preserve"> września 2020 r.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l-PL"/>
        </w:rPr>
      </w:r>
    </w:p>
    <w:p>
      <w:pPr>
        <w:pStyle w:val="NormalWeb"/>
        <w:spacing w:lineRule="auto" w:line="312" w:before="280" w:after="301"/>
        <w:jc w:val="center"/>
        <w:rPr/>
      </w:pPr>
      <w:r>
        <w:rPr>
          <w:b/>
          <w:bCs/>
        </w:rPr>
        <w:t>Procedura wyboru formy kształcenia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>Niniejsza procedura ma na celu zobiektywizowanie wyboru formy kształcenia – stacjonarnej lub zdalnej – w zależności od stopnia zagrożenia epidemiologicznego na obszarze Powiatu Lipnowskiego na terenie którego ma siedzibę Szkoła Podstawowa im. I. A. Zboińskiego w Kikole.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 xml:space="preserve">W zależności od tego, czy Powiat Lipnowski, na terenie którego ma siedzibę Szkoła, został zaliczony do strefy „czerwonej” lub „żółtej”, zgodnie z </w:t>
      </w:r>
      <w:r>
        <w:rPr>
          <w:i/>
          <w:iCs/>
        </w:rPr>
        <w:t>Rozporządzeniem Rady Ministrów z dnia 7 sierpnia 2020 r. w sprawie ustanowienia określonych ograniczeń, nakazów i zakazów w związku z wystąpieniem stanu epidemii</w:t>
      </w:r>
      <w:r>
        <w:rPr/>
        <w:t xml:space="preserve"> (Dz. U. z 2020 r. poz. 1356), dyrektor podejmuje decyzję o rozpoczęciu procedury ograniczenia funkcjonowania szkoły, przewidzianej w odrębnych przepisach.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 xml:space="preserve">W sytuacji niezaliczenia Powiatu Lipnowskiego do strefy „żółtej” lub „czerwonej” </w:t>
        <w:br/>
        <w:t>w szkole funkcjonuje kształcenie w trybie stacjonarnym. Obowiązują wytyczne GIS, MZ i MEN dla szkół i placówek oświatowych.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>W przypadku zaliczenia Powiatu Lipnowskiego do strefy „żółtej” dyrektor podejmuje decyzję o przeprowadzeniu procedury wprowadzenia:</w:t>
      </w:r>
    </w:p>
    <w:p>
      <w:pPr>
        <w:pStyle w:val="NormalWeb"/>
        <w:numPr>
          <w:ilvl w:val="1"/>
          <w:numId w:val="11"/>
        </w:numPr>
        <w:spacing w:lineRule="auto" w:line="312" w:before="280" w:after="0"/>
        <w:jc w:val="both"/>
        <w:rPr/>
      </w:pPr>
      <w:r>
        <w:rPr/>
        <w:t>mieszanej formy kształcenia (hybrydowej) – dającej możliwość wprowadzenia zawieszenia zajęć stacjonarnych grupy, grupy wychowawczej, oddziału, klasy, etapu edukacyjnego lub całej szkoły w zakresie wszystkich lub poszczególnych zajęć. Zawieszenie zajęć stacjonarnych oznacza wprowadzenie kształcenia na odległość (zdalnego),</w:t>
      </w:r>
    </w:p>
    <w:p>
      <w:pPr>
        <w:pStyle w:val="NormalWeb"/>
        <w:numPr>
          <w:ilvl w:val="1"/>
          <w:numId w:val="11"/>
        </w:numPr>
        <w:spacing w:lineRule="auto" w:line="312" w:before="280" w:after="0"/>
        <w:jc w:val="both"/>
        <w:rPr/>
      </w:pPr>
      <w:r>
        <w:rPr/>
        <w:t>kształcenia zdalnego – oznaczającego zawieszenie zajęć stacjonarnych na czas określony i wprowadzenie w całej szkole kształcenia na odległość (edukacji zdalnej).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>W przypadku zaliczenia Powiatu do strefy „czerwonej” dyrektor podejmuje decyzję o przeprowadzeniu procedury wprowadzenia kształcenia zdalnego – oznaczającego zawieszenie zajęć stacjonarnych na określony czas i wprowadzenie w całej szkole kształcenia na odległość (edukacji zdalnej).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>Wprowadzenie formy kształcenia, o której mowa w ust. 4 pkt 1 wymaga uzyskania zgody organu prowadzącego i otrzymania pozytywnej opinii Państwowego Powiatowego Inspektora Sanitarnego.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>Wprowadzenie formy kształcenia, o której mowa w ust. 4 pkt 2 i ust. 5 wymaga uzyskania zgody organu prowadzącego i pozytywnej opinii Państwowego Powiatowego Inspektora Sanitarnego.</w:t>
      </w:r>
    </w:p>
    <w:p>
      <w:pPr>
        <w:pStyle w:val="NormalWeb"/>
        <w:numPr>
          <w:ilvl w:val="0"/>
          <w:numId w:val="11"/>
        </w:numPr>
        <w:spacing w:lineRule="auto" w:line="312" w:before="280" w:after="0"/>
        <w:jc w:val="both"/>
        <w:rPr/>
      </w:pPr>
      <w:r>
        <w:rPr/>
        <w:t>Przed upływem okresu wprowadzenia form kształcenia, o których mowa w ust. 4 i 5 dyrektor może podjąć decyzję o ponownym wprowadzeniu wymienionych form kształcenia na czas określony.</w:t>
      </w:r>
    </w:p>
    <w:p>
      <w:pPr>
        <w:pStyle w:val="NormalWeb"/>
        <w:numPr>
          <w:ilvl w:val="0"/>
          <w:numId w:val="11"/>
        </w:numPr>
        <w:spacing w:lineRule="auto" w:line="312" w:before="280" w:after="147"/>
        <w:jc w:val="both"/>
        <w:rPr/>
      </w:pPr>
      <w:r>
        <w:rPr/>
        <w:t>W przypadku wprowadzenia w szkole form kształcenia, o których mowa w ust. 4 i 5 dyrektor ustala szczegółowe zasady organizacji nauki zdalnej, zgodnie z wymogami zawartymi w przepisach szczególnych.</w:t>
      </w:r>
    </w:p>
    <w:p>
      <w:pPr>
        <w:pStyle w:val="Normal"/>
        <w:shd w:val="clear" w:color="auto" w:fill="FFFFFF"/>
        <w:spacing w:lineRule="atLeast" w:line="360" w:before="0" w:after="195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p>
      <w:pPr>
        <w:pStyle w:val="NormalWeb"/>
        <w:spacing w:lineRule="auto" w:line="312" w:before="280" w:after="301"/>
        <w:jc w:val="both"/>
        <w:rPr/>
      </w:pPr>
      <w:r>
        <w:rPr>
          <w:b/>
          <w:bCs/>
        </w:rPr>
        <w:t>Procedura postępowania na wypadek podejrzenia wystąpienia objawów choroby COVID-19</w:t>
      </w:r>
    </w:p>
    <w:p>
      <w:pPr>
        <w:pStyle w:val="NormalWeb"/>
        <w:spacing w:lineRule="auto" w:line="312" w:beforeAutospacing="0" w:before="147" w:after="147"/>
        <w:jc w:val="center"/>
        <w:rPr/>
      </w:pPr>
      <w:r>
        <w:rPr>
          <w:b/>
          <w:bCs/>
        </w:rPr>
        <w:t>§ 1</w:t>
      </w:r>
    </w:p>
    <w:p>
      <w:pPr>
        <w:pStyle w:val="NormalWeb"/>
        <w:numPr>
          <w:ilvl w:val="0"/>
          <w:numId w:val="4"/>
        </w:numPr>
        <w:spacing w:lineRule="auto" w:line="312" w:before="280" w:after="0"/>
        <w:jc w:val="both"/>
        <w:rPr/>
      </w:pPr>
      <w:r>
        <w:rPr/>
        <w:t>Niniejsza procedura powstała na podstawie wytycznych Głównego Inspektora Sanitarnego.</w:t>
      </w:r>
    </w:p>
    <w:p>
      <w:pPr>
        <w:pStyle w:val="NormalWeb"/>
        <w:numPr>
          <w:ilvl w:val="0"/>
          <w:numId w:val="4"/>
        </w:numPr>
        <w:spacing w:lineRule="auto" w:line="312" w:before="280" w:after="0"/>
        <w:jc w:val="both"/>
        <w:rPr/>
      </w:pPr>
      <w:r>
        <w:rPr/>
        <w:t>Celem procedury jest zminimalizowanie ryzyka wystąpienia zakażenia wirusem SARS-CoV-2 wywołującym chorobę COVID-19.</w:t>
      </w:r>
    </w:p>
    <w:p>
      <w:pPr>
        <w:pStyle w:val="NormalWeb"/>
        <w:numPr>
          <w:ilvl w:val="0"/>
          <w:numId w:val="4"/>
        </w:numPr>
        <w:spacing w:lineRule="auto" w:line="312" w:before="280" w:after="0"/>
        <w:jc w:val="both"/>
        <w:rPr/>
      </w:pPr>
      <w:r>
        <w:rPr/>
        <w:t>Do pracy w szkole mogą przychodzić jedynie zdrowe osoby, bez jakichkolwiek objawów wskazujących na chorobę zakaźną COVID-19.</w:t>
      </w:r>
    </w:p>
    <w:p>
      <w:pPr>
        <w:pStyle w:val="NormalWeb"/>
        <w:numPr>
          <w:ilvl w:val="0"/>
          <w:numId w:val="4"/>
        </w:numPr>
        <w:spacing w:lineRule="auto" w:line="312" w:before="280" w:after="0"/>
        <w:jc w:val="both"/>
        <w:rPr/>
      </w:pPr>
      <w:r>
        <w:rPr/>
        <w:t>Do szkoły może uczęszczać uczeń bez objawów chorobowych sugerujących infekcję dróg oddechowych oraz gdy domownicy nie przebywają na kwarantannie lub w izolacji w warunkach domowych.</w:t>
      </w:r>
    </w:p>
    <w:p>
      <w:pPr>
        <w:pStyle w:val="NormalWeb"/>
        <w:numPr>
          <w:ilvl w:val="0"/>
          <w:numId w:val="4"/>
        </w:numPr>
        <w:spacing w:lineRule="auto" w:line="312" w:before="280" w:after="0"/>
        <w:jc w:val="both"/>
        <w:rPr/>
      </w:pPr>
      <w:r>
        <w:rPr>
          <w:color w:val="FF0000"/>
        </w:rPr>
        <w:t>Wychowawcy klas, a w razie ich nieobecności nauczyciele przeprowadzający pierwsze zajęcia z grupą w danym dniu lub inni pracownicy wyznaczeni przez dyrektora szkoły, przeprowadzają badanie temperatury ciała ucznia przy pomocy termometru bezdotykowego. Termometr podlega dezynfekcji po użyciu w danej grupie.</w:t>
      </w:r>
    </w:p>
    <w:p>
      <w:pPr>
        <w:pStyle w:val="NormalWeb"/>
        <w:numPr>
          <w:ilvl w:val="0"/>
          <w:numId w:val="4"/>
        </w:numPr>
        <w:spacing w:lineRule="auto" w:line="312" w:before="280" w:after="0"/>
        <w:jc w:val="both"/>
        <w:rPr/>
      </w:pPr>
      <w:r>
        <w:rPr/>
        <w:t xml:space="preserve">W razie wykrycia u ucznia podwyższonej temperatury ciała, powyżej </w:t>
      </w:r>
      <w:r>
        <w:rPr>
          <w:color w:val="FF0000"/>
        </w:rPr>
        <w:t>37,9ºC,</w:t>
      </w:r>
      <w:r>
        <w:rPr/>
        <w:t xml:space="preserve"> wychowawca kontaktuje się z rodzicami dziecka (opiekunami prawnymi) w celu odebrania ucznia ze szkoły. Do czasu przybycia rodziców ucznia umieszcza się w odrębnym pomieszczeniu.</w:t>
      </w:r>
    </w:p>
    <w:p>
      <w:pPr>
        <w:pStyle w:val="NormalWeb"/>
        <w:numPr>
          <w:ilvl w:val="0"/>
          <w:numId w:val="4"/>
        </w:numPr>
        <w:spacing w:lineRule="auto" w:line="312" w:before="280" w:after="147"/>
        <w:jc w:val="both"/>
        <w:rPr/>
      </w:pPr>
      <w:r>
        <w:rPr/>
        <w:t>Jeżeli pracownik szkoły zauważy u ucznia objawy mogące wskazywać na infekcję dróg oddechowych, w tym w szczególności gorączkę, kaszel, należy umieścić ucznia w odrębnym pomieszczeniu i niezwłocznie powiadomić jego rodziców (opiekunów prawnych) o konieczności odebrania ucznia ze szkoły.</w:t>
      </w:r>
    </w:p>
    <w:p>
      <w:pPr>
        <w:pStyle w:val="NormalWeb"/>
        <w:spacing w:lineRule="auto" w:line="312" w:beforeAutospacing="0" w:before="147" w:after="147"/>
        <w:jc w:val="center"/>
        <w:rPr/>
      </w:pPr>
      <w:r>
        <w:rPr>
          <w:b/>
          <w:bCs/>
        </w:rPr>
        <w:t>§ 2</w:t>
      </w:r>
    </w:p>
    <w:p>
      <w:pPr>
        <w:pStyle w:val="NormalWeb"/>
        <w:spacing w:lineRule="auto" w:line="312" w:before="280" w:after="0"/>
        <w:ind w:left="360" w:hanging="0"/>
        <w:jc w:val="both"/>
        <w:rPr/>
      </w:pPr>
      <w:r>
        <w:rPr/>
        <w:t>Odrębne pomieszczenie, o którym mowa w § 1 pkt 6 i 7, zapewnia min. 2 m odległości od innych osób. Pomieszczenie jest wyposażone w środki ochrony osobistej oraz płyn dezynfekujący. Dostęp do pomieszczenia mają wyłącznie pracownicy szkoły oraz izolowani uczniowie. Po każdym użyciu pomieszczenia przez ucznia, u którego podejrzewano wystąpienie objawów choroby COVID-19, pomieszczenie powinno zostać zdezynfekowane przez personel sprzątający przy zastosowaniu wszelkich środków ochrony osobistej.</w:t>
      </w:r>
    </w:p>
    <w:p>
      <w:pPr>
        <w:pStyle w:val="NormalWeb"/>
        <w:spacing w:lineRule="auto" w:line="312" w:beforeAutospacing="0" w:before="147" w:after="147"/>
        <w:ind w:hanging="0"/>
        <w:jc w:val="center"/>
        <w:rPr/>
      </w:pPr>
      <w:r>
        <w:rPr>
          <w:b/>
          <w:bCs/>
        </w:rPr>
        <w:t>§ 3</w:t>
      </w:r>
    </w:p>
    <w:p>
      <w:pPr>
        <w:pStyle w:val="NormalWeb"/>
        <w:numPr>
          <w:ilvl w:val="0"/>
          <w:numId w:val="5"/>
        </w:numPr>
        <w:spacing w:lineRule="auto" w:line="312" w:before="280" w:after="0"/>
        <w:jc w:val="both"/>
        <w:rPr/>
      </w:pPr>
      <w:r>
        <w:rPr/>
        <w:t>W sytuacji odbioru przez rodziców lub opiekunów prawnych odizolowanego uprzednio ucznia należy upewnić się, że nie będzie miał kontaktu z innymi uczniami, pracownikami szkoły lub osobami trzecimi znajdującymi się na terenie szkoły.</w:t>
      </w:r>
    </w:p>
    <w:p>
      <w:pPr>
        <w:pStyle w:val="NormalWeb"/>
        <w:numPr>
          <w:ilvl w:val="0"/>
          <w:numId w:val="5"/>
        </w:numPr>
        <w:spacing w:lineRule="auto" w:line="312" w:before="280" w:after="147"/>
        <w:jc w:val="both"/>
        <w:rPr/>
      </w:pPr>
      <w:r>
        <w:rPr/>
        <w:t>W sytuacji wystąpienia u ucznia lub pracownika szkoły objawów COVID-19, personel sprzątający powinien przeprowadzić, przy zachowaniu środków ochrony osobistej, dodatkowe czynności dezynfekujące w budynku szkoły. Obszar, w którym poruszał się i przebywał pracownik, należy poddać gruntownemu sprzątaniu, zgodnie z funkcjonującymi w placówce procedurami oraz zdezynfekować powierzchnie dotykowe (klamki, poręcze, uchwyty itp.) oraz zastosować się do indywidualnych zaleceń wydanych przez inspektorat sanitarny.</w:t>
      </w:r>
    </w:p>
    <w:p>
      <w:pPr>
        <w:pStyle w:val="NormalWeb"/>
        <w:spacing w:lineRule="auto" w:line="312" w:beforeAutospacing="0" w:before="147" w:after="147"/>
        <w:jc w:val="center"/>
        <w:rPr/>
      </w:pPr>
      <w:r>
        <w:rPr>
          <w:b/>
          <w:bCs/>
        </w:rPr>
        <w:t>§ 4</w:t>
      </w:r>
    </w:p>
    <w:p>
      <w:pPr>
        <w:pStyle w:val="NormalWeb"/>
        <w:numPr>
          <w:ilvl w:val="0"/>
          <w:numId w:val="6"/>
        </w:numPr>
        <w:spacing w:lineRule="auto" w:line="312" w:before="280" w:after="0"/>
        <w:jc w:val="both"/>
        <w:rPr/>
      </w:pPr>
      <w:r>
        <w:rPr/>
        <w:t>Pracownicy szkoły zostają poinstruowani, że w sytuacji wystąpienia niepokojących objawów choroby zakaźnej COVID-19 powinni pozostać w domu i skontaktować się telefonicznie z lekarzem podstawowej opieki zdrowotnej, aby uzyskać teleporadę medyczną, a w razie pogarszania się stanu zdrowia zadzwonić pod nr 999 lub 112 i poinformować, że mogą być zakażeni koronawirusem.</w:t>
      </w:r>
    </w:p>
    <w:p>
      <w:pPr>
        <w:pStyle w:val="NormalWeb"/>
        <w:numPr>
          <w:ilvl w:val="0"/>
          <w:numId w:val="6"/>
        </w:numPr>
        <w:spacing w:lineRule="auto" w:line="312" w:before="280" w:after="0"/>
        <w:jc w:val="both"/>
        <w:rPr/>
      </w:pPr>
      <w:r>
        <w:rPr/>
        <w:t>W przypadku wystąpienia u pracownika będącego na stanowisku pracy niepokojących objawów infekcji dróg oddechowych powinien on skontaktować się telefonicznie z lekarzem podstawowej opieki zdrowotnej, aby uzyskać teleporadę medyczną.</w:t>
      </w:r>
    </w:p>
    <w:p>
      <w:pPr>
        <w:pStyle w:val="NormalWeb"/>
        <w:numPr>
          <w:ilvl w:val="0"/>
          <w:numId w:val="6"/>
        </w:numPr>
        <w:spacing w:lineRule="auto" w:line="312" w:before="280" w:after="147"/>
        <w:jc w:val="both"/>
        <w:rPr/>
      </w:pPr>
      <w:bookmarkStart w:id="0" w:name="Bookmark"/>
      <w:bookmarkEnd w:id="0"/>
      <w:r>
        <w:rPr/>
        <w:t>W sytuacji potwierdzonego zakażenia SARS-CoV-2 na terenie szkoły należy stosować się do zaleceń Państwowego Powiatowego Inspektora Sanitarnego.</w:t>
      </w:r>
    </w:p>
    <w:p>
      <w:pPr>
        <w:pStyle w:val="NormalWeb"/>
        <w:spacing w:lineRule="auto" w:line="312" w:before="280" w:after="147"/>
        <w:jc w:val="both"/>
        <w:rPr/>
      </w:pPr>
      <w:r>
        <w:rPr/>
        <w:t>Z treścią niniejszej procedury zaznajamia się pracowników szkoły oraz rodziców / opiekunów prawnych uczniów.</w:t>
      </w:r>
    </w:p>
    <w:p>
      <w:pPr>
        <w:pStyle w:val="Normal"/>
        <w:spacing w:lineRule="auto" w:line="312" w:before="0" w:after="30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12" w:before="0" w:after="30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Procedura bezpieczeństwa pracy stołówki i wydawania posiłków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Personel kuchenny i pracownicy administracji oraz obsługi sprzątającej powinni ograniczyć kontakty z uczniami oraz nauczycielami.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Odległość między stanowiskami pracy na stołówce szkolnej powinna wynosić co najmniej 1,5 m.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Jeżeli zachowanie warunku, o którym mowa w ust. 2 jest niemożliwe, wówczas pracodawca zapewnia środki ochrony osobistej, w postaci masek, przyłbic, rękawic ochronnych, fartuchów.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Szczególną uwagę zwraca się na utrzymanie wysokiej higieny stanowisk pracy, opakowań produktów, sprzętu kuchennego, naczyń stołowych oraz sztućców.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15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Posiłki wydawane są z zachowaniem zasady ograniczenia liczby uczniów przebywających jednocześnie na stołówce oraz zasad ograniczenia możliwości ewentualnego rozprzestrzeniania się wirusa. W tym celu: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12" w:before="0" w:after="0"/>
        <w:ind w:left="180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stosuje się zmianowe wydawanie posiłków,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12" w:before="0" w:after="0"/>
        <w:ind w:left="180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miarę możliwości na stołówce powinni spożywać posiłki uczniowie tej samej grupy,</w:t>
      </w:r>
    </w:p>
    <w:p>
      <w:pPr>
        <w:pStyle w:val="Normal"/>
        <w:numPr>
          <w:ilvl w:val="0"/>
          <w:numId w:val="3"/>
        </w:numPr>
        <w:suppressAutoHyphens w:val="true"/>
        <w:spacing w:lineRule="auto" w:line="312" w:before="0" w:after="150"/>
        <w:ind w:left="17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braku możliwości organizacyjnych stosowania zasad z ust. 1 i 2 dopuszcza się spożywanie posiłków przez dzieci w salach lekcyjnych.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Zainstalowana w szkole fontanna wody pitnej zostaje wyłączona do odwołania.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odpowiedzialna za podawanie uczniom posiłków obowiązana jest do przeprowadzenia uprzedniej dezynfekcji powierzchni, na której spożywany jest posiłek, a także sprzętów służących dzieciom do jego spożycia.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każdym posiłku blaty, stoły i poręcze krzeseł są dezynfekowane przez personel sprzątający.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Wielorazowe naczynia i sztućce należy myć w zmywarce z dodatkiem detergentu, w temperaturze min. 60°C lub je wyparzać.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0"/>
        <w:ind w:left="72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Cukier i inne dodatki są wydawane przez obsługę. Na stołówce nie obowiązuje samoobsługa.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12" w:before="0" w:after="30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Procedura przyprowadzania i odbierania uczniów ze szkoły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Niniejsza procedura powstała na podstawie wytycznych Głównego Inspektora Sanitarnego.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cs="Times New Roman" w:ascii="Times New Roman" w:hAnsi="Times New Roman"/>
          <w:sz w:val="24"/>
          <w:szCs w:val="24"/>
        </w:rPr>
        <w:t>Celem procedury jest zminimalizowanie ryzyka wystąpienia zakażenia wirusem SARS-CoV-2 wywołującym chorobę COVID-19.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pl-PL" w:bidi="pl-PL"/>
        </w:rPr>
        <w:t>Do szkoły może uczęszczać uczeń bez objawów chorobowych sugerujących infekcję dróg oddechowych oraz gdy domownicy nie przebywają na kwarantannie lub w izolacji w warunkach domowych.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odwołania należy ograniczyć bezpośredni kontakt z osobami trzecimi do niezbędnego minimum.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szkole zostaje wyznaczona przestrzeń wspólna, do której mają prawo wejść rodzice i opiekunowie przyprowadzający/odbierający uczniów do/ze szkoły.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Opiekunowie odprowadzający i przyprowadzający uczniów mogą wchodzić do przestrzeni wspólnej szkoły, zachowując zasady:</w:t>
      </w:r>
    </w:p>
    <w:p>
      <w:pPr>
        <w:pStyle w:val="ListParagraph"/>
        <w:numPr>
          <w:ilvl w:val="1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 opiekun z dzieckiem/dziećmi,</w:t>
      </w:r>
    </w:p>
    <w:p>
      <w:pPr>
        <w:pStyle w:val="ListParagraph"/>
        <w:numPr>
          <w:ilvl w:val="1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dystans od kolejnego opiekuna z dzieckiem/dziećmi musi wynosić min. 1,5 m,</w:t>
      </w:r>
    </w:p>
    <w:p>
      <w:pPr>
        <w:pStyle w:val="ListParagraph"/>
        <w:numPr>
          <w:ilvl w:val="1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dystans od pracowników szkoły musi wynosić min. 1,5 m,</w:t>
      </w:r>
    </w:p>
    <w:p>
      <w:pPr>
        <w:pStyle w:val="ListParagraph"/>
        <w:numPr>
          <w:ilvl w:val="1"/>
          <w:numId w:val="8"/>
        </w:numPr>
        <w:suppressAutoHyphens w:val="true"/>
        <w:spacing w:lineRule="auto" w:line="312" w:before="0"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opiekunowie powinni przestrzegać obowiązujących przepisów prawa związanych z bezpieczeństwem zdrowotnym obywateli (m.in. stosować środki ochronne: osłonę ust i nosa, nosić rękawiczki jednorazowe lub dezynfekować ręce).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każdym kontakcie z osobami trzecimi należy dezynfekować ręce. W przypadku stosowania rękawiczek powinny być często zmieniane. Należy unikać dotykania twarzy i oczu w trakcie noszenia rękawiczek.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Wszystkim wchodzącym do budynku szkoły należy umożliwić skorzystanie z płynu do dezynfekcji rąk.</w:t>
      </w:r>
    </w:p>
    <w:p>
      <w:pPr>
        <w:pStyle w:val="ListParagraph"/>
        <w:numPr>
          <w:ilvl w:val="0"/>
          <w:numId w:val="8"/>
        </w:numPr>
        <w:suppressAutoHyphens w:val="true"/>
        <w:spacing w:lineRule="auto" w:line="312" w:before="0" w:after="15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Przy wejściu do budynku szkoły należy zamieścić informację o obowiązku dezynfekowania rąk oraz instrukcję użycia środka dezynfekującego.</w:t>
      </w:r>
    </w:p>
    <w:p>
      <w:pPr>
        <w:pStyle w:val="Normal"/>
        <w:spacing w:lineRule="auto" w:line="312" w:before="0" w:after="30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Procedura przetwarzania danych szczególnej kategorii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Procedura została opracowana w celu spełnienia wymagań Głównego Inspektora Sanitarnego.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szkoły może uczęszczać uczeń bez objawów chorobowych sugerujących infekcję dróg oddechowych oraz gdy domownicy nie przebywają na kwarantannie lub w izolacji w warunkach domowych lub w izolacji.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Potwierdzenie spełnienia warunków, o których mowa w ust. 2 następuje w drodze pisemnego oświadczenia rodziców (prawnych opiekunów).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szkole dokonywany jest pomiar temperatury uczniów zgodnie z zasadami przyjętymi odrębnym zarządzeniem dyrektora. Do pomiaru temperatury jest wymagane uzyskanie zgody rodziców (prawnych opiekunów) ucznia.</w:t>
      </w:r>
    </w:p>
    <w:p>
      <w:pPr>
        <w:pStyle w:val="ListParagraph"/>
        <w:numPr>
          <w:ilvl w:val="0"/>
          <w:numId w:val="9"/>
        </w:numPr>
        <w:suppressAutoHyphens w:val="true"/>
        <w:spacing w:lineRule="auto" w:line="312" w:before="0"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Przetwarzanie danych szczególnej kategorii, w szczególności dotyczących zdrowia, niewymienionych w przepisach poprzedzających, jest dopuszczalne na podstawie zgody rodziców / prawnych opiekunów ucznia.</w:t>
      </w:r>
    </w:p>
    <w:p>
      <w:pPr>
        <w:pStyle w:val="Normal"/>
        <w:suppressAutoHyphens w:val="true"/>
        <w:spacing w:lineRule="auto" w:line="312" w:before="0"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12" w:before="0" w:after="150"/>
        <w:jc w:val="center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Procedura organizacji przerw oraz dyżurów nauczycieli na przerwach</w:t>
      </w:r>
    </w:p>
    <w:p>
      <w:pPr>
        <w:pStyle w:val="Normal"/>
        <w:spacing w:lineRule="auto" w:line="312" w:before="0" w:after="15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Niniejsza procedura powstała na podstawie wytycznych Głównego Inspektora Sanitarnego.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Celem procedury jest zminimalizowanie ryzyka wystąpienia zakażenia wirusem SARS-CoV-2 wywołującym chorobę COVID-19.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Nauczyciel w klasach I–III organizuje przerwy dla swoich uczniów w interwałach adekwatnych do potrzeb, jednak nie rzadziej niż co 45 min.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W klasach niewymienionych w ust. 3 przerwy są organizowane zgodnie z planem zajęć przyjętym odrębnym zarządzeniem.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Jeżeli pozwalają na to warunki atmosferyczne zaleca się korzystanie przez uczniów w czasie przerw z boiska szkolnego oraz pobyt na świeżym powietrzu na terenie szkoły.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Uczniowie spędzają przerwy pod opieką nauczycieli dyżurujących.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Korytarze oraz obszary wymienione w ust. 5 są podzielone  na strefy, w których w czasie przerw mogą przebywać jedynie uczniowie przypisani do danej strefy oddziału, z zastrzeżeniem ust. 9.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Zadaniem nauczyciela dyżurującego jest dbanie o to, aby uczniowie przebywali w czasie przerw wyłącznie w swoim gronie, bez kontaktu z uczniami z oddziałów przypisanych do innej strefy, aby w miarę możliwości ograniczyć ewentualne rozprzestrzenianie się wirusa.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W razie konieczności przejścia przez strefę przeznaczoną dla innego oddziału (np. w celu udania się do strefy wyznaczonej), na korytarzach i boisku szkolnym w czasie przerw uczniowie są obowiązani do zachowania dystansu społecznego min. 1,5 m od ucznia innej grupy lub do noszenia osłon nosa i twarzy. </w:t>
      </w:r>
    </w:p>
    <w:p>
      <w:pPr>
        <w:pStyle w:val="ListParagraph"/>
        <w:numPr>
          <w:ilvl w:val="0"/>
          <w:numId w:val="10"/>
        </w:numPr>
        <w:suppressAutoHyphens w:val="true"/>
        <w:spacing w:lineRule="auto" w:line="312" w:before="0" w:after="150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Podczas zajęć lekcyjnych nie jest wymagane noszenie przez uczniów osłon nosa i twarzy. </w:t>
      </w:r>
    </w:p>
    <w:p>
      <w:pPr>
        <w:pStyle w:val="Normal"/>
        <w:spacing w:lineRule="auto" w:line="312" w:before="0" w:after="30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Procedura przeprowadzania dezynfekcji w szkole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Niniejsza procedura powstała na podstawie wytycznych Głównego Inspektora Sanitarnego.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Celem procedury jest zminimalizowanie ryzyka wystąpienia zakażenia wirusem SARS-CoV-2 wywołującym chorobę COVID-19.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 wejściu głównym do szkoły należy umieścić numery telefonów do właściwej miejscowo powiatowej stacji sanitarno-epidemiologicznej, szpitalnego oddziału zakaźnego i służb medycznych.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Przy wejściu do szkoły znajduje się dozownik z płynem do dezynfekcji rąk, z którego obowiązana jest skorzystać każda dorosła osoba </w:t>
      </w:r>
      <w:r>
        <w:rPr>
          <w:rFonts w:cs="Times New Roman" w:ascii="Times New Roman" w:hAnsi="Times New Roman"/>
          <w:sz w:val="24"/>
          <w:szCs w:val="24"/>
        </w:rPr>
        <w:t xml:space="preserve">i uczniowie powyżej 6 roku życia </w:t>
      </w:r>
      <w:r>
        <w:rPr>
          <w:rFonts w:cs="Times New Roman" w:ascii="Times New Roman" w:hAnsi="Times New Roman"/>
          <w:sz w:val="24"/>
          <w:szCs w:val="24"/>
        </w:rPr>
        <w:t>wchodząc</w:t>
      </w:r>
      <w:r>
        <w:rPr>
          <w:rFonts w:cs="Times New Roman" w:ascii="Times New Roman" w:hAnsi="Times New Roman"/>
          <w:sz w:val="24"/>
          <w:szCs w:val="24"/>
        </w:rPr>
        <w:t>y</w:t>
      </w:r>
      <w:r>
        <w:rPr>
          <w:rFonts w:cs="Times New Roman" w:ascii="Times New Roman" w:hAnsi="Times New Roman"/>
          <w:sz w:val="24"/>
          <w:szCs w:val="24"/>
        </w:rPr>
        <w:t xml:space="preserve"> do budynku szkoły. Zobowiązuje się personel sprzątający do regularnego sprawdzania stanu pojemnika z płynem i uzupełniania go w razie potrzeby. Dozowniki z płynem do dezynfekcji znajdują się również w pomieszczeniach sanitarnohigienicznych.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Należy dopilnować, aby wszystkie osoby trzecie, w tym rodzice uczniów, wchodzące do szkoły dezynfekowały dłonie lub zakładały rękawiczki ochronne, miały zakryte usta i nos oraz nie przekraczały obowiązujących stref przebywania.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Zobowiązuje się personel sprzątający do regularnego dokonywania prac porządkowych, w tym zwłaszcza czyszczenia ciągów komunikacyjnych, a także dezynfekowania co najmniej dwa razy dziennie powierzchni dotykowych: poręczy, klamek, włączników światła, uchwytów, poręczy krzeseł i powierzchni płaskich, w tym blatów w salach i pomieszczeniach do spożywania i przygotowywania posiłków. Przeprowadzenie prac porządkowych należy odnotować w harmonogramie prac porządkowych na dany dzień zawieszonym na tablicy ogłoszeń.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odpowiedzialna za podawanie uczniom posiłków obowiązana jest do przeprowadzenia uprzedniej dezynfekcji powierzchni, na której spożywany jest posiłek, a także sprzętów służących dzieciom do jego spożycia. Po każdym posiłku blaty, stoły i poręcze krzeseł są dezynfekowane przez personel sprzątający.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Dyrektor lub wyznaczony nauczyciel dokonuje codziennego monitoringu prac porządkowych, ze szczególnym uwzględnieniem utrzymywania w czystości sal zajęć, pomieszczeń sanitarnohigienicznych, ciągów komunikacyjnych, dezynfekcji powierzchni dotykowych – poręczy, klamek i powierzchni płaskich, w tym blatów w salach i w pomieszczeniach spożywania posiłków, klawiatur komputerowych, włączników itd. 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Przeprowadzając dezynfekcję, należy ściśle przestrzegać zaleceń producenta znajdujących się na opakowaniu środka do dezynfekcji. Ważne jest ścisłe przestrzeganie czasu niezbędnego do wywietrzenia dezynfekowanych pomieszczeń i przedmiotów, tak aby uczniowie nie byli narażeni na wdychanie oparów środków służących do dezynfekcji.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pomieszczeniach sanitarnohigienicznych wywiesza się plakaty z zasadami prawidłowego mycia rąk, a przy dozownikach z płynem do dezynfekcji rąk – instrukcje dezynfekcji.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/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Nauczyciele przypominają uczniom o konieczności zachowania higieny, w tym o częstym i regularnym myciu rąk – zwłaszcza po skorzystaniu z toalety, przed jedzeniem oraz po powrocie z zajęć na świeżym powietrzu. </w:t>
      </w:r>
      <w:r>
        <w:rPr>
          <w:rFonts w:cs="Times New Roman" w:ascii="Times New Roman" w:hAnsi="Times New Roman"/>
          <w:sz w:val="24"/>
          <w:szCs w:val="24"/>
        </w:rPr>
        <w:t>. Należy również zwracać  uczniom uwagę na odpowiedni sposób zasłaniania twarzy podczas kichania czy kasłania.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>
      <w:pPr>
        <w:pStyle w:val="ListParagraph"/>
        <w:numPr>
          <w:ilvl w:val="0"/>
          <w:numId w:val="7"/>
        </w:numPr>
        <w:suppressAutoHyphens w:val="true"/>
        <w:spacing w:lineRule="auto" w:line="312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Należy wietrzyć salę co najmniej raz na godzinę, w czasie przerwy.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uto" w:line="312" w:before="280" w:after="0"/>
        <w:jc w:val="right"/>
        <w:rPr>
          <w:i/>
          <w:i/>
        </w:rPr>
      </w:pPr>
      <w:r>
        <w:rPr/>
      </w:r>
    </w:p>
    <w:p>
      <w:pPr>
        <w:pStyle w:val="NormalWeb"/>
        <w:spacing w:lineRule="auto" w:line="312" w:before="280" w:after="0"/>
        <w:jc w:val="right"/>
        <w:rPr>
          <w:i/>
          <w:i/>
        </w:rPr>
      </w:pPr>
      <w:r>
        <w:rPr>
          <w:i/>
        </w:rPr>
        <w:t>Załącznik 1</w:t>
      </w:r>
    </w:p>
    <w:p>
      <w:pPr>
        <w:pStyle w:val="NormalWeb"/>
        <w:spacing w:lineRule="auto" w:line="312" w:before="280" w:after="0"/>
        <w:jc w:val="right"/>
        <w:rPr>
          <w:i/>
          <w:i/>
        </w:rPr>
      </w:pPr>
      <w:r>
        <w:rPr>
          <w:i/>
        </w:rPr>
      </w:r>
    </w:p>
    <w:p>
      <w:pPr>
        <w:pStyle w:val="NormalWeb"/>
        <w:spacing w:lineRule="auto" w:line="312" w:before="280" w:after="0"/>
        <w:jc w:val="right"/>
        <w:rPr/>
      </w:pPr>
      <w:r>
        <w:rPr/>
        <w:t>Kikół, 01.09.2020 r.</w:t>
      </w:r>
    </w:p>
    <w:p>
      <w:pPr>
        <w:pStyle w:val="NormalWeb"/>
        <w:spacing w:lineRule="auto" w:line="312" w:before="280" w:after="0"/>
        <w:jc w:val="both"/>
        <w:rPr/>
      </w:pPr>
      <w:r>
        <w:rPr/>
        <w:t>……………………………………</w:t>
      </w:r>
      <w:r>
        <w:rPr/>
        <w:t>..</w:t>
      </w:r>
    </w:p>
    <w:p>
      <w:pPr>
        <w:pStyle w:val="NormalWeb"/>
        <w:spacing w:lineRule="auto" w:line="312" w:before="280" w:after="0"/>
        <w:jc w:val="both"/>
        <w:rPr/>
      </w:pPr>
      <w:r>
        <w:rPr/>
        <w:t>……………………………………</w:t>
      </w:r>
      <w:r>
        <w:rPr/>
        <w:t xml:space="preserve">.. </w:t>
      </w:r>
    </w:p>
    <w:p>
      <w:pPr>
        <w:pStyle w:val="NormalWeb"/>
        <w:spacing w:lineRule="auto" w:line="312" w:before="280" w:after="0"/>
        <w:jc w:val="both"/>
        <w:rPr/>
      </w:pPr>
      <w:r>
        <w:rPr/>
        <w:t>……………………………………</w:t>
      </w:r>
      <w:r>
        <w:rPr/>
        <w:t>..</w:t>
      </w:r>
    </w:p>
    <w:p>
      <w:pPr>
        <w:pStyle w:val="NormalWeb"/>
        <w:spacing w:lineRule="auto" w:line="312" w:before="280" w:after="0"/>
        <w:jc w:val="both"/>
        <w:rPr/>
      </w:pPr>
      <w:r>
        <w:rPr>
          <w:i/>
          <w:iCs/>
        </w:rPr>
        <w:t>(imię i nazwisko, adres)</w:t>
      </w:r>
    </w:p>
    <w:p>
      <w:pPr>
        <w:pStyle w:val="NormalWeb"/>
        <w:spacing w:lineRule="auto" w:line="312" w:before="280" w:after="0"/>
        <w:jc w:val="both"/>
        <w:rPr/>
      </w:pPr>
      <w:r>
        <w:rPr/>
      </w:r>
    </w:p>
    <w:p>
      <w:pPr>
        <w:pStyle w:val="NormalWeb"/>
        <w:spacing w:lineRule="auto" w:line="312" w:before="280" w:after="0"/>
        <w:jc w:val="both"/>
        <w:rPr/>
      </w:pPr>
      <w:r>
        <w:rPr/>
      </w:r>
    </w:p>
    <w:p>
      <w:pPr>
        <w:pStyle w:val="NormalWeb"/>
        <w:spacing w:lineRule="auto" w:line="312" w:before="280" w:after="240"/>
        <w:jc w:val="both"/>
        <w:rPr/>
      </w:pPr>
      <w:r>
        <w:rPr/>
      </w:r>
    </w:p>
    <w:p>
      <w:pPr>
        <w:pStyle w:val="NormalWeb"/>
        <w:spacing w:lineRule="auto" w:line="312" w:before="280" w:after="301"/>
        <w:jc w:val="center"/>
        <w:rPr/>
      </w:pPr>
      <w:r>
        <w:rPr>
          <w:b/>
          <w:bCs/>
        </w:rPr>
        <w:t>Zgoda na pomiar temperatury u dziecka</w:t>
      </w:r>
    </w:p>
    <w:p>
      <w:pPr>
        <w:pStyle w:val="NormalWeb"/>
        <w:spacing w:lineRule="auto" w:line="312" w:before="280" w:after="0"/>
        <w:jc w:val="both"/>
        <w:rPr/>
      </w:pPr>
      <w:r>
        <w:rPr/>
        <w:t xml:space="preserve">Na podstawie art. 9 ust. 2 lit. a </w:t>
      </w:r>
      <w:r>
        <w:rPr>
          <w:i/>
          <w:iCs/>
        </w:rPr>
        <w:t>Rozporządzenia Parlamentu Europejskiego i Rady (UE) 2016/679 z dnia 27 kwietnia 2016 r. sprawie ochrony osób fizycznych w związku z przetwarzaniem danych osobowych i w sprawie swobodnego przepływu takich danych oraz uchylenia dyrektywy 95/46/WE</w:t>
      </w:r>
      <w:r>
        <w:rPr/>
        <w:t xml:space="preserve"> (Dz.U. UE.L. z 2016 r. Nr 119, poz. 1) wyrażam zgodę na dokonywanie pomiaru temperatury u mojego dziecka</w:t>
      </w:r>
    </w:p>
    <w:p>
      <w:pPr>
        <w:pStyle w:val="NormalWeb"/>
        <w:spacing w:lineRule="auto" w:line="312" w:before="280" w:after="0"/>
        <w:jc w:val="both"/>
        <w:rPr/>
      </w:pPr>
      <w:r>
        <w:rPr/>
        <w:t>……………………………………………………………………………………</w:t>
      </w:r>
      <w:r>
        <w:rPr/>
        <w:t>.…………</w:t>
      </w:r>
    </w:p>
    <w:p>
      <w:pPr>
        <w:pStyle w:val="NormalWeb"/>
        <w:spacing w:lineRule="auto" w:line="312" w:before="280" w:after="0"/>
        <w:jc w:val="right"/>
        <w:rPr/>
      </w:pPr>
      <w:r>
        <w:rPr>
          <w:i/>
          <w:iCs/>
        </w:rPr>
        <w:t>(imię i nazwisko dziecka)</w:t>
      </w:r>
    </w:p>
    <w:p>
      <w:pPr>
        <w:pStyle w:val="NormalWeb"/>
        <w:spacing w:lineRule="auto" w:line="312" w:before="280" w:after="0"/>
        <w:jc w:val="both"/>
        <w:rPr/>
      </w:pPr>
      <w:r>
        <w:rPr/>
      </w:r>
    </w:p>
    <w:p>
      <w:pPr>
        <w:pStyle w:val="NormalWeb"/>
        <w:spacing w:lineRule="auto" w:line="312" w:before="280" w:after="0"/>
        <w:jc w:val="both"/>
        <w:rPr/>
      </w:pPr>
      <w:r>
        <w:rPr/>
      </w:r>
    </w:p>
    <w:p>
      <w:pPr>
        <w:pStyle w:val="NormalWeb"/>
        <w:spacing w:lineRule="auto" w:line="312" w:before="280" w:after="0"/>
        <w:jc w:val="both"/>
        <w:rPr/>
      </w:pPr>
      <w:r>
        <w:rPr/>
      </w:r>
    </w:p>
    <w:p>
      <w:pPr>
        <w:pStyle w:val="NormalWeb"/>
        <w:spacing w:lineRule="auto" w:line="312" w:before="280" w:after="0"/>
        <w:jc w:val="right"/>
        <w:rPr/>
      </w:pPr>
      <w:r>
        <w:rPr/>
        <w:t>………</w:t>
      </w:r>
      <w:r>
        <w:rPr/>
        <w:t>.…………………………..</w:t>
      </w:r>
    </w:p>
    <w:p>
      <w:pPr>
        <w:pStyle w:val="NormalWeb"/>
        <w:spacing w:lineRule="auto" w:line="312" w:before="280" w:after="0"/>
        <w:jc w:val="right"/>
        <w:rPr/>
      </w:pPr>
      <w:r>
        <w:rPr>
          <w:i/>
          <w:iCs/>
        </w:rPr>
        <w:t>(podpis rodzica / prawnego opiekuna)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Calibri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Calibri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Calibri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Calibri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alibri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Calibri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09"/>
        </w:tabs>
        <w:ind w:left="1800" w:hanging="360"/>
      </w:pPr>
      <w:rPr>
        <w:sz w:val="24"/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8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3d3a"/>
    <w:pPr>
      <w:widowControl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491e67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491e6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4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eastAsia="Calibri" w:cs="Times New Roman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eastAsia="Calibri" w:cs="Times New Roman"/>
    </w:rPr>
  </w:style>
  <w:style w:type="character" w:styleId="ListLabel7">
    <w:name w:val="ListLabel 7"/>
    <w:qFormat/>
    <w:rPr>
      <w:rFonts w:eastAsia="Calibri" w:cs="Times New Roman"/>
    </w:rPr>
  </w:style>
  <w:style w:type="character" w:styleId="ListLabel8">
    <w:name w:val="ListLabel 8"/>
    <w:qFormat/>
    <w:rPr>
      <w:rFonts w:eastAsia="Calibri" w:cs="Times New Roman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4"/>
    </w:rPr>
  </w:style>
  <w:style w:type="character" w:styleId="ListLabel11">
    <w:name w:val="ListLabel 11"/>
    <w:qFormat/>
    <w:rPr>
      <w:rFonts w:ascii="Times New Roman" w:hAnsi="Times New Roman" w:eastAsia="Calibri" w:cs="Times New Roman"/>
      <w:sz w:val="24"/>
    </w:rPr>
  </w:style>
  <w:style w:type="character" w:styleId="ListLabel12">
    <w:name w:val="ListLabel 12"/>
    <w:qFormat/>
    <w:rPr>
      <w:rFonts w:eastAsia="Calibri" w:cs="Times New Roman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eastAsia="Calibri" w:cs="Times New Roman"/>
    </w:rPr>
  </w:style>
  <w:style w:type="character" w:styleId="ListLabel15">
    <w:name w:val="ListLabel 15"/>
    <w:qFormat/>
    <w:rPr>
      <w:rFonts w:eastAsia="Calibri" w:cs="Times New Roman"/>
    </w:rPr>
  </w:style>
  <w:style w:type="character" w:styleId="ListLabel16">
    <w:name w:val="ListLabel 16"/>
    <w:qFormat/>
    <w:rPr>
      <w:rFonts w:eastAsia="Calibri" w:cs="Times New Roman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eastAsia="Calibri" w:cs="Times New Roman"/>
    </w:rPr>
  </w:style>
  <w:style w:type="character" w:styleId="ListLabel19">
    <w:name w:val="ListLabel 19"/>
    <w:qFormat/>
    <w:rPr>
      <w:rFonts w:eastAsia="Calibri" w:cs="Times New Roman"/>
    </w:rPr>
  </w:style>
  <w:style w:type="character" w:styleId="ListLabel20">
    <w:name w:val="ListLabel 20"/>
    <w:qFormat/>
    <w:rPr>
      <w:rFonts w:eastAsia="Calibri" w:cs="Times New Roman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eastAsia="Calibri" w:cs="Times New Roman"/>
    </w:rPr>
  </w:style>
  <w:style w:type="character" w:styleId="ListLabel23">
    <w:name w:val="ListLabel 23"/>
    <w:qFormat/>
    <w:rPr>
      <w:rFonts w:eastAsia="Calibri" w:cs="Times New Roman"/>
    </w:rPr>
  </w:style>
  <w:style w:type="character" w:styleId="ListLabel24">
    <w:name w:val="ListLabel 24"/>
    <w:qFormat/>
    <w:rPr>
      <w:rFonts w:eastAsia="Calibri" w:cs="Times New Roman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eastAsia="Calibri" w:cs="Times New Roman"/>
    </w:rPr>
  </w:style>
  <w:style w:type="character" w:styleId="ListLabel27">
    <w:name w:val="ListLabel 27"/>
    <w:qFormat/>
    <w:rPr>
      <w:rFonts w:eastAsia="Calibri" w:cs="Times New Roman"/>
    </w:rPr>
  </w:style>
  <w:style w:type="character" w:styleId="ListLabel28">
    <w:name w:val="ListLabel 28"/>
    <w:qFormat/>
    <w:rPr>
      <w:rFonts w:eastAsia="Calibri" w:cs="Times New Roman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eastAsia="Calibri" w:cs="Times New Roman"/>
    </w:rPr>
  </w:style>
  <w:style w:type="character" w:styleId="ListLabel31">
    <w:name w:val="ListLabel 31"/>
    <w:qFormat/>
    <w:rPr>
      <w:rFonts w:eastAsia="Calibri" w:cs="Times New Roman"/>
    </w:rPr>
  </w:style>
  <w:style w:type="character" w:styleId="ListLabel32">
    <w:name w:val="ListLabel 32"/>
    <w:qFormat/>
    <w:rPr>
      <w:rFonts w:eastAsia="Calibri" w:cs="Times New Roman"/>
    </w:rPr>
  </w:style>
  <w:style w:type="character" w:styleId="ListLabel33">
    <w:name w:val="ListLabel 33"/>
    <w:qFormat/>
    <w:rPr>
      <w:rFonts w:eastAsia="Calibri" w:cs="Times New Roman"/>
    </w:rPr>
  </w:style>
  <w:style w:type="character" w:styleId="ListLabel34">
    <w:name w:val="ListLabel 34"/>
    <w:qFormat/>
    <w:rPr>
      <w:rFonts w:eastAsia="Calibri" w:cs="Times New Roman"/>
    </w:rPr>
  </w:style>
  <w:style w:type="character" w:styleId="ListLabel35">
    <w:name w:val="ListLabel 35"/>
    <w:qFormat/>
    <w:rPr>
      <w:rFonts w:eastAsia="Calibri" w:cs="Times New Roman"/>
    </w:rPr>
  </w:style>
  <w:style w:type="character" w:styleId="ListLabel36">
    <w:name w:val="ListLabel 36"/>
    <w:qFormat/>
    <w:rPr>
      <w:rFonts w:eastAsia="Calibri" w:cs="Times New Roman"/>
    </w:rPr>
  </w:style>
  <w:style w:type="character" w:styleId="ListLabel37">
    <w:name w:val="ListLabel 37"/>
    <w:qFormat/>
    <w:rPr>
      <w:rFonts w:eastAsia="Calibri" w:cs="Times New Roman"/>
    </w:rPr>
  </w:style>
  <w:style w:type="character" w:styleId="ListLabel38">
    <w:name w:val="ListLabel 38"/>
    <w:qFormat/>
    <w:rPr>
      <w:rFonts w:eastAsia="Calibri" w:cs="Times New Roman"/>
    </w:rPr>
  </w:style>
  <w:style w:type="character" w:styleId="ListLabel39">
    <w:name w:val="ListLabel 39"/>
    <w:qFormat/>
    <w:rPr>
      <w:rFonts w:eastAsia="Calibri" w:cs="Times New Roman"/>
    </w:rPr>
  </w:style>
  <w:style w:type="character" w:styleId="ListLabel40">
    <w:name w:val="ListLabel 40"/>
    <w:qFormat/>
    <w:rPr>
      <w:rFonts w:eastAsia="Calibri" w:cs="Times New Roman"/>
    </w:rPr>
  </w:style>
  <w:style w:type="character" w:styleId="ListLabel41">
    <w:name w:val="ListLabel 41"/>
    <w:qFormat/>
    <w:rPr>
      <w:rFonts w:eastAsia="Calibri" w:cs="Times New Roman"/>
    </w:rPr>
  </w:style>
  <w:style w:type="character" w:styleId="ListLabel42">
    <w:name w:val="ListLabel 42"/>
    <w:qFormat/>
    <w:rPr>
      <w:rFonts w:eastAsia="Calibri" w:cs="Times New Roman"/>
    </w:rPr>
  </w:style>
  <w:style w:type="character" w:styleId="ListLabel43">
    <w:name w:val="ListLabel 43"/>
    <w:qFormat/>
    <w:rPr>
      <w:rFonts w:eastAsia="Calibri" w:cs="Times New Roman"/>
    </w:rPr>
  </w:style>
  <w:style w:type="character" w:styleId="ListLabel44">
    <w:name w:val="ListLabel 44"/>
    <w:qFormat/>
    <w:rPr>
      <w:rFonts w:eastAsia="Calibri" w:cs="Times New Roman"/>
    </w:rPr>
  </w:style>
  <w:style w:type="character" w:styleId="ListLabel45">
    <w:name w:val="ListLabel 45"/>
    <w:qFormat/>
    <w:rPr>
      <w:rFonts w:eastAsia="Calibri" w:cs="Times New Roman"/>
    </w:rPr>
  </w:style>
  <w:style w:type="character" w:styleId="ListLabel46">
    <w:name w:val="ListLabel 46"/>
    <w:qFormat/>
    <w:rPr>
      <w:rFonts w:eastAsia="Calibri" w:cs="Times New Roman"/>
    </w:rPr>
  </w:style>
  <w:style w:type="character" w:styleId="ListLabel47">
    <w:name w:val="ListLabel 47"/>
    <w:qFormat/>
    <w:rPr>
      <w:rFonts w:eastAsia="Calibri" w:cs="Times New Roman"/>
    </w:rPr>
  </w:style>
  <w:style w:type="character" w:styleId="ListLabel48">
    <w:name w:val="ListLabel 48"/>
    <w:qFormat/>
    <w:rPr>
      <w:b/>
    </w:rPr>
  </w:style>
  <w:style w:type="character" w:styleId="ListLabel49">
    <w:name w:val="ListLabel 49"/>
    <w:qFormat/>
    <w:rPr>
      <w:b/>
    </w:rPr>
  </w:style>
  <w:style w:type="character" w:styleId="ListLabel50">
    <w:name w:val="ListLabel 50"/>
    <w:qFormat/>
    <w:rPr>
      <w:rFonts w:ascii="Times New Roman" w:hAnsi="Times New Roman" w:eastAsia="Calibri" w:cs="Times New Roman"/>
      <w:sz w:val="24"/>
    </w:rPr>
  </w:style>
  <w:style w:type="character" w:styleId="ListLabel51">
    <w:name w:val="ListLabel 51"/>
    <w:qFormat/>
    <w:rPr>
      <w:rFonts w:eastAsia="Calibri" w:cs="Times New Roman"/>
    </w:rPr>
  </w:style>
  <w:style w:type="character" w:styleId="ListLabel52">
    <w:name w:val="ListLabel 52"/>
    <w:qFormat/>
    <w:rPr>
      <w:rFonts w:eastAsia="Calibri" w:cs="Times New Roman"/>
    </w:rPr>
  </w:style>
  <w:style w:type="character" w:styleId="ListLabel53">
    <w:name w:val="ListLabel 53"/>
    <w:qFormat/>
    <w:rPr>
      <w:rFonts w:eastAsia="Calibri" w:cs="Times New Roman"/>
    </w:rPr>
  </w:style>
  <w:style w:type="character" w:styleId="ListLabel54">
    <w:name w:val="ListLabel 54"/>
    <w:qFormat/>
    <w:rPr>
      <w:rFonts w:eastAsia="Calibri" w:cs="Times New Roman"/>
    </w:rPr>
  </w:style>
  <w:style w:type="character" w:styleId="ListLabel55">
    <w:name w:val="ListLabel 55"/>
    <w:qFormat/>
    <w:rPr>
      <w:rFonts w:eastAsia="Calibri" w:cs="Times New Roman"/>
    </w:rPr>
  </w:style>
  <w:style w:type="character" w:styleId="ListLabel56">
    <w:name w:val="ListLabel 56"/>
    <w:qFormat/>
    <w:rPr>
      <w:rFonts w:eastAsia="Calibri" w:cs="Times New Roman"/>
    </w:rPr>
  </w:style>
  <w:style w:type="character" w:styleId="ListLabel57">
    <w:name w:val="ListLabel 57"/>
    <w:qFormat/>
    <w:rPr>
      <w:rFonts w:eastAsia="Calibri" w:cs="Times New Roman"/>
    </w:rPr>
  </w:style>
  <w:style w:type="character" w:styleId="ListLabel58">
    <w:name w:val="ListLabel 58"/>
    <w:qFormat/>
    <w:rPr>
      <w:rFonts w:eastAsia="Calibri" w:cs="Times New Roman"/>
    </w:rPr>
  </w:style>
  <w:style w:type="character" w:styleId="ListLabel59">
    <w:name w:val="ListLabel 59"/>
    <w:qFormat/>
    <w:rPr>
      <w:rFonts w:ascii="Times New Roman" w:hAnsi="Times New Roman" w:cs="Times New Roman"/>
      <w:sz w:val="24"/>
    </w:rPr>
  </w:style>
  <w:style w:type="character" w:styleId="ListLabel60">
    <w:name w:val="ListLabel 60"/>
    <w:qFormat/>
    <w:rPr>
      <w:rFonts w:ascii="Times New Roman" w:hAnsi="Times New Roman" w:eastAsia="Calibri" w:cs="Times New Roman"/>
      <w:sz w:val="24"/>
    </w:rPr>
  </w:style>
  <w:style w:type="character" w:styleId="ListLabel61">
    <w:name w:val="ListLabel 61"/>
    <w:qFormat/>
    <w:rPr>
      <w:rFonts w:ascii="Times New Roman" w:hAnsi="Times New Roman" w:eastAsia="Calibri" w:cs="Times New Roman"/>
      <w:sz w:val="24"/>
    </w:rPr>
  </w:style>
  <w:style w:type="character" w:styleId="ListLabel62">
    <w:name w:val="ListLabel 62"/>
    <w:qFormat/>
    <w:rPr>
      <w:rFonts w:eastAsia="Calibri" w:cs="Times New Roman"/>
    </w:rPr>
  </w:style>
  <w:style w:type="character" w:styleId="ListLabel63">
    <w:name w:val="ListLabel 63"/>
    <w:qFormat/>
    <w:rPr>
      <w:rFonts w:eastAsia="Calibri" w:cs="Times New Roman"/>
    </w:rPr>
  </w:style>
  <w:style w:type="character" w:styleId="ListLabel64">
    <w:name w:val="ListLabel 64"/>
    <w:qFormat/>
    <w:rPr>
      <w:rFonts w:eastAsia="Calibri" w:cs="Times New Roman"/>
    </w:rPr>
  </w:style>
  <w:style w:type="character" w:styleId="ListLabel65">
    <w:name w:val="ListLabel 65"/>
    <w:qFormat/>
    <w:rPr>
      <w:rFonts w:eastAsia="Calibri" w:cs="Times New Roman"/>
    </w:rPr>
  </w:style>
  <w:style w:type="character" w:styleId="ListLabel66">
    <w:name w:val="ListLabel 66"/>
    <w:qFormat/>
    <w:rPr>
      <w:rFonts w:eastAsia="Calibri" w:cs="Times New Roman"/>
    </w:rPr>
  </w:style>
  <w:style w:type="character" w:styleId="ListLabel67">
    <w:name w:val="ListLabel 67"/>
    <w:qFormat/>
    <w:rPr>
      <w:rFonts w:eastAsia="Calibri" w:cs="Times New Roman"/>
    </w:rPr>
  </w:style>
  <w:style w:type="character" w:styleId="ListLabel68">
    <w:name w:val="ListLabel 68"/>
    <w:qFormat/>
    <w:rPr>
      <w:rFonts w:eastAsia="Calibri" w:cs="Times New Roman"/>
    </w:rPr>
  </w:style>
  <w:style w:type="character" w:styleId="ListLabel69">
    <w:name w:val="ListLabel 69"/>
    <w:qFormat/>
    <w:rPr>
      <w:rFonts w:eastAsia="Calibri" w:cs="Times New Roman"/>
    </w:rPr>
  </w:style>
  <w:style w:type="character" w:styleId="ListLabel70">
    <w:name w:val="ListLabel 70"/>
    <w:qFormat/>
    <w:rPr>
      <w:rFonts w:ascii="Times New Roman" w:hAnsi="Times New Roman" w:cs="Times New Roman"/>
      <w:sz w:val="24"/>
    </w:rPr>
  </w:style>
  <w:style w:type="character" w:styleId="ListLabel71">
    <w:name w:val="ListLabel 71"/>
    <w:qFormat/>
    <w:rPr>
      <w:rFonts w:ascii="Times New Roman" w:hAnsi="Times New Roman" w:eastAsia="Calibri" w:cs="Times New Roman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91e67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">
    <w:name w:val="Header"/>
    <w:basedOn w:val="Normal"/>
    <w:link w:val="NagwekZnak"/>
    <w:uiPriority w:val="99"/>
    <w:semiHidden/>
    <w:unhideWhenUsed/>
    <w:rsid w:val="00491e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491e6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444c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LibreOffice/6.2.2.2$Windows_X86_64 LibreOffice_project/2b840030fec2aae0fd2658d8d4f9548af4e3518d</Application>
  <Pages>9</Pages>
  <Words>2171</Words>
  <Characters>14206</Characters>
  <CharactersWithSpaces>16208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2020-09-06T06:40:00Z</dcterms:created>
  <dc:creator>KORALESIE</dc:creator>
  <dc:description/>
  <dc:language>pl-PL</dc:language>
  <cp:lastModifiedBy/>
  <dcterms:modified xsi:type="dcterms:W3CDTF">2020-09-21T08:22:04Z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